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7D" w:rsidRDefault="004A492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ПОЯСНИТЕЛЬНАЯ ЗАПИСКА</w:t>
      </w:r>
    </w:p>
    <w:p w:rsidR="004A4927" w:rsidRDefault="004A492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к проекту закона Алтайского края </w:t>
      </w:r>
    </w:p>
    <w:p w:rsidR="004A4927" w:rsidRDefault="004A492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«О внесении изменений в статью 2.3 закона Алтайского края </w:t>
      </w:r>
    </w:p>
    <w:p w:rsidR="004A4927" w:rsidRDefault="004A492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«О налоге на имущество организаций на территории </w:t>
      </w:r>
    </w:p>
    <w:p w:rsidR="006B797D" w:rsidRDefault="004A4927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Алтайского края»</w:t>
      </w:r>
    </w:p>
    <w:p w:rsidR="006B797D" w:rsidRDefault="006B797D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6B797D" w:rsidRDefault="004A4927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В соответствии с пунктом 2 статьи 372 Налогового кодекса Российской </w:t>
      </w:r>
      <w:r>
        <w:rPr>
          <w:rFonts w:ascii="PT Astra Serif" w:eastAsia="PT Astra Serif" w:hAnsi="PT Astra Serif" w:cs="PT Astra Serif"/>
          <w:sz w:val="28"/>
          <w:szCs w:val="28"/>
        </w:rPr>
        <w:t>Федерации при установлении налога на имущество организаций законами субъектов Российской Федерации могут предусматриваться налоговые льготы и основания для их использования налогоплательщиками.</w:t>
      </w:r>
    </w:p>
    <w:p w:rsidR="006B797D" w:rsidRDefault="004A4927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целях поддержки организаций здравоохранения настоящим проектом закона предлагается освободить от уплаты налога на имущество организаций краевые государственные учреждения здравоохранения, финансовое обеспечение деятельности которых осуществляется за счет средств краевого бюджета и (или) за счет средств бюджета Территориально фонда обязательного медицинского страхования.</w:t>
      </w:r>
    </w:p>
    <w:p w:rsidR="006B797D" w:rsidRDefault="004A4927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Предлагаемая преференция относится к целевой категории технических налоговых расходов, которая предполагает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бюджетных средств и направлена на оптимизацию встречного бюджетного финансирования на выполнение налоговых обязательств указанных организаций перед краевым бюджетом.</w:t>
      </w:r>
    </w:p>
    <w:p w:rsidR="006B797D" w:rsidRDefault="004A4927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Действие льготы предлагается распространить на правоотношения, связанные с исчислением налога на имущество организаций за налоговые периоды 2026 - 2028 годов.</w:t>
      </w:r>
    </w:p>
    <w:p w:rsidR="006B797D" w:rsidRDefault="004A4927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Реализация закона не повлечет дополнительных расходов из краевого бюджета.</w:t>
      </w:r>
    </w:p>
    <w:p w:rsidR="006B797D" w:rsidRDefault="004A4927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Законопроект предлагается принять в двух чтениях.</w:t>
      </w:r>
      <w:r w:rsidR="00975A4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bookmarkStart w:id="0" w:name="_GoBack"/>
      <w:bookmarkEnd w:id="0"/>
    </w:p>
    <w:p w:rsidR="006B797D" w:rsidRDefault="006B797D"/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</w:rPr>
      </w:pPr>
    </w:p>
    <w:p w:rsidR="006B797D" w:rsidRDefault="006B797D">
      <w:pPr>
        <w:rPr>
          <w:rFonts w:ascii="PT Astra Serif" w:hAnsi="PT Astra Serif" w:cs="PT Astra Serif"/>
          <w:sz w:val="24"/>
          <w:szCs w:val="24"/>
        </w:rPr>
      </w:pPr>
    </w:p>
    <w:sectPr w:rsidR="006B79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7D" w:rsidRDefault="004A4927">
      <w:pPr>
        <w:spacing w:after="0" w:line="240" w:lineRule="auto"/>
      </w:pPr>
      <w:r>
        <w:separator/>
      </w:r>
    </w:p>
  </w:endnote>
  <w:endnote w:type="continuationSeparator" w:id="0">
    <w:p w:rsidR="006B797D" w:rsidRDefault="004A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7D" w:rsidRDefault="004A4927">
      <w:pPr>
        <w:spacing w:after="0" w:line="240" w:lineRule="auto"/>
      </w:pPr>
      <w:r>
        <w:separator/>
      </w:r>
    </w:p>
  </w:footnote>
  <w:footnote w:type="continuationSeparator" w:id="0">
    <w:p w:rsidR="006B797D" w:rsidRDefault="004A4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7D"/>
    <w:rsid w:val="004A4927"/>
    <w:rsid w:val="006B797D"/>
    <w:rsid w:val="0097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69984-0A61-436C-9BD4-645BBE9B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Вячеслав Викторович Блудов</cp:lastModifiedBy>
  <cp:revision>7</cp:revision>
  <dcterms:created xsi:type="dcterms:W3CDTF">2026-05-26T08:22:00Z</dcterms:created>
  <dcterms:modified xsi:type="dcterms:W3CDTF">2026-05-26T10:40:00Z</dcterms:modified>
</cp:coreProperties>
</file>